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75B" w:rsidRPr="000E375B" w:rsidRDefault="000E375B" w:rsidP="000E375B">
      <w:pPr>
        <w:ind w:firstLine="567"/>
        <w:jc w:val="both"/>
        <w:rPr>
          <w:rFonts w:ascii="Times New Roman" w:hAnsi="Times New Roman" w:cs="Times New Roman"/>
          <w:b/>
          <w:sz w:val="28"/>
          <w:szCs w:val="28"/>
        </w:rPr>
      </w:pPr>
      <w:r w:rsidRPr="000E375B">
        <w:rPr>
          <w:rFonts w:ascii="Times New Roman" w:hAnsi="Times New Roman" w:cs="Times New Roman"/>
          <w:b/>
          <w:sz w:val="28"/>
          <w:szCs w:val="28"/>
        </w:rPr>
        <w:t>Một số nội dung cơ bản của Nghị định số 157/2020/NĐ-CP ngày 31/12/2020 của Chính phủ sửa đổi, bổ sung một số điều của Nghị định số 85/2013/NĐ-CP ngày 29/7/2013 của Chính phủ và Thông tư số 11/2020/TT-BTP ngày 31/12/2020 của Bộ trưởng Bộ Tư pháp</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Để hướng dẫn thi hành Luật sửa đổi, bổ sung một số điều của Luật Giám định tư pháp, ngày 31/12/2020, Chính phủ đã ban hành Nghị định số 157/2020/NĐ-CP sửa đổi, bổ sung một số điều của Nghị định số 85/2013/NĐ-CP ngày 29/7/2013 của Chính phủ quy định chi tiết và biện pháp thi hành Luật Giám định tư pháp; đồng thời, Bộ trưởng Bộ Tư pháp đã ký ban hành Thông tư số 11/2020/TT-BTP ngày 31/12/2020 quy định về mẫu thẻ, trình tự, thủ tục cấp mới, cấp lại thẻ giám đị</w:t>
      </w:r>
      <w:r>
        <w:rPr>
          <w:rFonts w:ascii="Times New Roman" w:hAnsi="Times New Roman" w:cs="Times New Roman"/>
          <w:sz w:val="28"/>
          <w:szCs w:val="28"/>
        </w:rPr>
        <w:t>nh viên tư pháp.</w:t>
      </w:r>
    </w:p>
    <w:p w:rsidR="000E375B" w:rsidRPr="000E375B" w:rsidRDefault="000E375B" w:rsidP="000E375B">
      <w:pPr>
        <w:ind w:firstLine="567"/>
        <w:jc w:val="both"/>
        <w:rPr>
          <w:rFonts w:ascii="Times New Roman" w:hAnsi="Times New Roman" w:cs="Times New Roman"/>
          <w:b/>
          <w:i/>
          <w:sz w:val="28"/>
          <w:szCs w:val="28"/>
        </w:rPr>
      </w:pPr>
      <w:r w:rsidRPr="000E375B">
        <w:rPr>
          <w:rFonts w:ascii="Times New Roman" w:hAnsi="Times New Roman" w:cs="Times New Roman"/>
          <w:b/>
          <w:i/>
          <w:sz w:val="28"/>
          <w:szCs w:val="28"/>
        </w:rPr>
        <w:t>1. Nghị định số 157/2020/NĐ-CP ngày 31/12/2020 của Chính phủ sửa đổi, bổ sung một số điều của Nghị định số 85/2013/NĐ-CP ngày 29/7/2013 của Chính phủ quy định chi tiết và biện pháp thi hành Luật Giám định tư pháp quy định những nội dung cơ bản sau đây:</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a) Về người giám định tư pháp theo vụ việc, tổ chức giám định tư pháp theo vụ việc: Nghị định số 157/2020/NĐ-CP bổ sung quy định về hủy bỏ quyết định công nhận người giám định tư pháp theo vụ việc, tổ chức giám định tư pháp theo vụ việc tại khoản 6 Điều 1 để làm cơ sở cho cơ quan quản lý nhà nước rà soát, đưa ra khỏi danh sách những cá nhân, tổ chức không đủ điều kiện thực hiện giám định, góp phần nâng cao chất lượng đội ngũ người giám định tư pháp.</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Để tiếp tục duy trì đội ngũ người giám định tư pháp theo vụ việc, tổ chức giám định tư pháp theo vụ việc đã được lựa chọn, công bố trước ngày 01/01/2021, Nghị định số 157/2020/NĐ-CP quy định những cá nhân, tổ chức này nếu còn đủ tiêu chuẩn, điều kiện thì đương nhiên được công nhận là người giám định tư pháp theo vụ việc, tổ chức giám định tư pháp theo vụ việc theo quy định của Luật sửa đổi, bổ sung một số điều của Luật Giám định tư pháp.</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b) Về chế độ chính sách đối với giám định viên tư pháp và người tham gia giám định tư pháp làm việc tại các tổ chức giám định tư pháp công lập: Nghị định số 157/2020/NĐ-CP quy định: Giám định viên tư pháp và người tham gia giám định tư pháp thuộc tổ chức giám định tư pháp công lập về pháp y thuộc ngành y tế được hưởng chế độ phụ cấp thường trực và giao Bộ Y tế xây dựng văn bản cụ thể về chế độ phụ cấp thường trực trình cơ quan có thẩm quyền ban hành.</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 xml:space="preserve">Đối với giám định viên chuyên trách trong Công an nhân dân, Nghị định giao Bộ Công an có trách nhiệm chủ trì, phối hợp với các bộ, ngành có liên quan nghiên cứu quy định hoặc đề nghị cơ quan nhà nước có thẩm quyền quy định chức danh giám định viên tư pháp chuyên trách và người tham gia hoạt động giám định tư pháp thuộc các tổ </w:t>
      </w:r>
      <w:r w:rsidRPr="000E375B">
        <w:rPr>
          <w:rFonts w:ascii="Times New Roman" w:hAnsi="Times New Roman" w:cs="Times New Roman"/>
          <w:sz w:val="28"/>
          <w:szCs w:val="28"/>
        </w:rPr>
        <w:lastRenderedPageBreak/>
        <w:t>chức giám định tư pháp công lập trong Công an nhân dân theo quy định của pháp luật (khoản 8 Điều 1).</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c) Về trách nhiệm của Ủy ban nhân dân cấp tỉnh, Sở Tư pháp và Sở chuyên môn: Nghị định sửa đổi điểm b khoản 2 Điều 27 của Nghị định số 85/2013/NĐ-CP. Theo đó, Ủy ban nhân dân cấp tỉnh không thực hiện việc rà soát và cập nhật danh sách cá nhân, tổ chức giám định tư pháp hàng năm như quy định cũ mà việc rà soát, cập nhật danh sách sẽ được thực hiện thường xuyên, khi có sự thay đổi.</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Để giúp Ủy ban nhân dân cấp tỉnh thực hiện việc cấp thẻ giám định viên tư pháp, Nghị định giao Sở Tư pháp chủ trì, phối hợp với cơ quan chuyên môn thuộc Ủy ban nhân dân cấp tỉnh trong việc giúp Chủ tịch Ủy ban nhân dân cấp, cấp lại, thu hồi thẻ giám định viên tư pháp (khoản 10 Điều 1).</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d) Về thủ tục hành chính: Nghị định số 157/2020/NĐ-CP bổ sung Điều 28a quy định về số lượng hồ sơ, cách thức nộp hồ sơ đối với các thủ tục hành chính về giám định tư pháp để bảo đảm tính minh bạch và phù hợp quy định của pháp luật về thủ tục hành chính.</w:t>
      </w:r>
    </w:p>
    <w:p w:rsidR="000E375B" w:rsidRPr="000E375B" w:rsidRDefault="000E375B" w:rsidP="000E375B">
      <w:pPr>
        <w:ind w:firstLine="567"/>
        <w:jc w:val="both"/>
        <w:rPr>
          <w:rFonts w:ascii="Times New Roman" w:hAnsi="Times New Roman" w:cs="Times New Roman"/>
          <w:b/>
          <w:i/>
          <w:sz w:val="28"/>
          <w:szCs w:val="28"/>
        </w:rPr>
      </w:pPr>
      <w:r w:rsidRPr="000E375B">
        <w:rPr>
          <w:rFonts w:ascii="Times New Roman" w:hAnsi="Times New Roman" w:cs="Times New Roman"/>
          <w:b/>
          <w:i/>
          <w:sz w:val="28"/>
          <w:szCs w:val="28"/>
        </w:rPr>
        <w:t>2. Thông tư số 11/2020/TT-BTP ngày 31/12/2020 của Bộ trưởng Bộ Tư pháp quy định về mẫu thẻ, trình tự, thủ tục cấp mới, cấp lại thẻ giám định viên tư pháp quy định những nội dung cơ bản sau đây:</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a) Về thẻ giám định viên tư pháp: Thông tư quy định cụ thể về hình dáng, kích thước của thẻ, các thông tin, vị trí sắp xếp thông tin, con dấu trên thẻ, ảnh của giám định viên tư pháp. Để bảo đảm số thẻ không bị trùng trong phạm vi toàn quốc, số thẻ được liên tiếp,  Thông tư quy định mã số thẻ của bộ, cơ quan ngang bộ, Ủy ban nhân dân cấp tỉnh, số thẻ là số thứ tự liên tiếp. Mẫu thẻ và hình ảnh cụ thể của thẻ giám định viên tư pháp được thiết kế, quy định cụ thể trong Thông tư.</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 xml:space="preserve">b) Về đối tượng được cấp mới thẻ giám định viên tư pháp, thủ tục cấp thẻ giám định viên tư pháp:   </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Thông tư số 11/2020/TT-BTP quy định đối tượng cấp mới thẻ giám định viên tư pháp gồm: (i) Người được bổ nhiệm giám định viên tư pháp theo quy định của Luật sửa đổi, bổ sung một số điều của Luật Giám định tư pháp (từ ngày 01/01/2021) và (ii) người đã được bổ nhiệm giám định viên tư pháp theo quy định của Luật Giám định tư pháp năm 2012 (trước ngày 01/01/2021) nếu không thuộc trường hợp bị miễn nhiệm theo quy định tại Điều 10 Luật Giám định tư pháp (Điều 5).</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Về thủ tục cấp thẻ, Thông tư quy định 02 thủ tục cấp thẻ riêng cho 02 đối tượng nêu trên để tạo thuận lợi nhất cho việc cấp thẻ, đồng thời quy định đầy đủ các mẫu hồ sơ, giấy tờ phục vụ cho việc cấp thẻ.</w:t>
      </w:r>
    </w:p>
    <w:p w:rsidR="000E375B" w:rsidRPr="000E375B"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lastRenderedPageBreak/>
        <w:t>c) Về cấp lại thẻ giám định viên tư pháp: Điều 8 Thông tư quy định 02 trường hợp cấp lại thẻ giám định viên tư pháp, đó là: thẻ đã được cấp bị mất, bị hỏng (rách, bẩn, phai mờ) đến mức không thể sử dụng được hoặc có sự thay đổi thông tin đã được ghi trên thẻ giám định viên tư pháp, hồ sơ và thời hạn cấp thẻ. Thẻ giám định viên tư pháp cấp lại trong trưởng hợp bị mất, bị hỏng (rách, bẩn, mờ) đến mức không thể sử dụng được giữ nguyên số thẻ đã được cấp trước.</w:t>
      </w:r>
    </w:p>
    <w:p w:rsidR="007A10CE" w:rsidRDefault="000E375B" w:rsidP="000E375B">
      <w:pPr>
        <w:ind w:firstLine="567"/>
        <w:jc w:val="both"/>
        <w:rPr>
          <w:rFonts w:ascii="Times New Roman" w:hAnsi="Times New Roman" w:cs="Times New Roman"/>
          <w:sz w:val="28"/>
          <w:szCs w:val="28"/>
        </w:rPr>
      </w:pPr>
      <w:r w:rsidRPr="000E375B">
        <w:rPr>
          <w:rFonts w:ascii="Times New Roman" w:hAnsi="Times New Roman" w:cs="Times New Roman"/>
          <w:sz w:val="28"/>
          <w:szCs w:val="28"/>
        </w:rPr>
        <w:t>Thẻ giám định viên tư pháp cấp lại trong trường hợp thay đổi nội dung thông tin ghi trên đối với trường hợp giám định viên tư pháp chuyển đổi vị trí công tác hoặc chuyển công tác từ bộ, ngành này sang bộ, ngành khác hoặc chuyển từ tỉnh này sang tỉnh khác thẻ được đánh số mới theo đúng quy định tại Thông tư.</w:t>
      </w:r>
    </w:p>
    <w:p w:rsidR="00691A6F" w:rsidRPr="000E375B" w:rsidRDefault="00691A6F" w:rsidP="000E375B">
      <w:pPr>
        <w:ind w:firstLine="567"/>
        <w:jc w:val="both"/>
        <w:rPr>
          <w:rFonts w:ascii="Times New Roman" w:hAnsi="Times New Roman" w:cs="Times New Roman"/>
          <w:sz w:val="28"/>
          <w:szCs w:val="28"/>
        </w:rPr>
      </w:pPr>
      <w:r>
        <w:rPr>
          <w:rFonts w:ascii="Times New Roman" w:hAnsi="Times New Roman" w:cs="Times New Roman"/>
          <w:sz w:val="28"/>
          <w:szCs w:val="28"/>
        </w:rPr>
        <w:t xml:space="preserve">Nguồn: </w:t>
      </w:r>
      <w:r w:rsidRPr="00691A6F">
        <w:rPr>
          <w:rFonts w:ascii="Times New Roman" w:hAnsi="Times New Roman" w:cs="Times New Roman"/>
          <w:sz w:val="28"/>
          <w:szCs w:val="28"/>
        </w:rPr>
        <w:t>https://bttp.moj.gov.v</w:t>
      </w:r>
      <w:bookmarkStart w:id="0" w:name="_GoBack"/>
      <w:bookmarkEnd w:id="0"/>
      <w:r w:rsidRPr="00691A6F">
        <w:rPr>
          <w:rFonts w:ascii="Times New Roman" w:hAnsi="Times New Roman" w:cs="Times New Roman"/>
          <w:sz w:val="28"/>
          <w:szCs w:val="28"/>
        </w:rPr>
        <w:t>n/qt/gdtp/Pages/tin-tuc.aspx?ItemID=9</w:t>
      </w:r>
    </w:p>
    <w:sectPr w:rsidR="00691A6F" w:rsidRPr="000E375B" w:rsidSect="000E375B">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75B"/>
    <w:rsid w:val="000E375B"/>
    <w:rsid w:val="005C35DF"/>
    <w:rsid w:val="00691A6F"/>
    <w:rsid w:val="007A10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CC0F0-DACE-44A4-9743-1E756DCF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557052">
      <w:bodyDiv w:val="1"/>
      <w:marLeft w:val="0"/>
      <w:marRight w:val="0"/>
      <w:marTop w:val="0"/>
      <w:marBottom w:val="0"/>
      <w:divBdr>
        <w:top w:val="none" w:sz="0" w:space="0" w:color="auto"/>
        <w:left w:val="none" w:sz="0" w:space="0" w:color="auto"/>
        <w:bottom w:val="none" w:sz="0" w:space="0" w:color="auto"/>
        <w:right w:val="none" w:sz="0" w:space="0" w:color="auto"/>
      </w:divBdr>
      <w:divsChild>
        <w:div w:id="1778137628">
          <w:marLeft w:val="0"/>
          <w:marRight w:val="0"/>
          <w:marTop w:val="225"/>
          <w:marBottom w:val="225"/>
          <w:divBdr>
            <w:top w:val="dashed" w:sz="6" w:space="11" w:color="E5E5E5"/>
            <w:left w:val="none" w:sz="0" w:space="0" w:color="auto"/>
            <w:bottom w:val="dashed" w:sz="6" w:space="11" w:color="E5E5E5"/>
            <w:right w:val="none" w:sz="0" w:space="0" w:color="auto"/>
          </w:divBdr>
          <w:divsChild>
            <w:div w:id="94145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Tran Hoang Long</dc:creator>
  <cp:keywords/>
  <dc:description/>
  <cp:lastModifiedBy>Le Tran Hoang Long</cp:lastModifiedBy>
  <cp:revision>3</cp:revision>
  <dcterms:created xsi:type="dcterms:W3CDTF">2021-10-20T09:53:00Z</dcterms:created>
  <dcterms:modified xsi:type="dcterms:W3CDTF">2021-10-20T10:01:00Z</dcterms:modified>
</cp:coreProperties>
</file>